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2433" w14:textId="77777777" w:rsidR="00226874" w:rsidRDefault="00226874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HD008: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Dịch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Quốc</w:t>
      </w:r>
      <w:proofErr w:type="spellEnd"/>
      <w:r w:rsidRPr="0022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874">
        <w:rPr>
          <w:rFonts w:ascii="Times New Roman" w:hAnsi="Times New Roman" w:cs="Times New Roman"/>
          <w:b/>
          <w:bCs/>
          <w:sz w:val="24"/>
          <w:szCs w:val="24"/>
        </w:rPr>
        <w:t>tế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6874" w14:paraId="5EC082B7" w14:textId="77777777" w:rsidTr="00226874">
        <w:tc>
          <w:tcPr>
            <w:tcW w:w="9350" w:type="dxa"/>
          </w:tcPr>
          <w:p w14:paraId="1335ED21" w14:textId="77777777" w:rsidR="00514884" w:rsidRDefault="00514884" w:rsidP="0051488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638831" w14:textId="1FC63D9A" w:rsidR="00226874" w:rsidRPr="00226874" w:rsidRDefault="00226874" w:rsidP="00514884">
            <w:pPr>
              <w:spacing w:after="120" w:line="276" w:lineRule="auto"/>
              <w:ind w:right="2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22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</w:p>
          <w:p w14:paraId="776C6DE1" w14:textId="77777777" w:rsidR="00226874" w:rsidRPr="009A508F" w:rsidRDefault="00226874" w:rsidP="00514884">
            <w:pPr>
              <w:spacing w:after="120" w:line="276" w:lineRule="auto"/>
              <w:ind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(“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”)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C045C7" w14:textId="77777777" w:rsidR="00226874" w:rsidRPr="009A508F" w:rsidRDefault="00226874" w:rsidP="00514884">
            <w:pPr>
              <w:spacing w:after="120" w:line="276" w:lineRule="auto"/>
              <w:ind w:left="420" w:right="26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hầu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cuốn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loạt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xóa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1B2A5" w14:textId="77777777" w:rsidR="00226874" w:rsidRPr="009A508F" w:rsidRDefault="00226874" w:rsidP="00514884">
            <w:pPr>
              <w:spacing w:after="120" w:line="276" w:lineRule="auto"/>
              <w:ind w:left="420" w:right="26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1.4):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F2521" w14:textId="77777777" w:rsidR="00226874" w:rsidRPr="009A508F" w:rsidRDefault="00226874" w:rsidP="00514884">
            <w:pPr>
              <w:spacing w:after="120" w:line="276" w:lineRule="auto"/>
              <w:ind w:left="420" w:right="26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1.4.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F03DE0" w14:textId="77777777" w:rsidR="00226874" w:rsidRPr="009A508F" w:rsidRDefault="00226874" w:rsidP="00514884">
            <w:pPr>
              <w:spacing w:after="120" w:line="276" w:lineRule="auto"/>
              <w:ind w:left="420" w:right="26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thiệt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4),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thiệt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4.3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7DA7B" w14:textId="77777777" w:rsidR="00226874" w:rsidRDefault="00226874" w:rsidP="00514884">
            <w:pPr>
              <w:spacing w:after="120" w:line="276" w:lineRule="auto"/>
              <w:ind w:left="420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A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A96625" w14:textId="16D6B699" w:rsidR="00514884" w:rsidRDefault="00514884" w:rsidP="00514884">
            <w:pPr>
              <w:spacing w:after="120" w:line="276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7D7CB" w14:textId="3431CECB" w:rsidR="00940E59" w:rsidRPr="00226874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A508F">
        <w:rPr>
          <w:rFonts w:ascii="Times New Roman" w:hAnsi="Times New Roman" w:cs="Times New Roman"/>
          <w:sz w:val="24"/>
          <w:szCs w:val="24"/>
        </w:rPr>
        <w:br w:type="page"/>
      </w:r>
    </w:p>
    <w:p w14:paraId="7F7EA6C0" w14:textId="77777777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00FE8" w14:textId="77777777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8F">
        <w:rPr>
          <w:rFonts w:ascii="Times New Roman" w:hAnsi="Times New Roman" w:cs="Times New Roman"/>
          <w:b/>
          <w:bCs/>
          <w:sz w:val="24"/>
          <w:szCs w:val="24"/>
        </w:rPr>
        <w:t>HỢP ĐỒNG MẪU CỦA ITC VỀ CUNG ỨNG DỊCH VỤ QUỐC TẾ</w:t>
      </w:r>
    </w:p>
    <w:p w14:paraId="20FF1060" w14:textId="77777777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8F">
        <w:rPr>
          <w:rFonts w:ascii="Times New Roman" w:hAnsi="Times New Roman" w:cs="Times New Roman"/>
          <w:b/>
          <w:bCs/>
          <w:sz w:val="24"/>
          <w:szCs w:val="24"/>
        </w:rPr>
        <w:t>CÁC BÊN:</w:t>
      </w:r>
    </w:p>
    <w:p w14:paraId="4A36563D" w14:textId="77777777" w:rsidR="0037132E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3E539" w14:textId="203105D1" w:rsidR="00940E59" w:rsidRPr="009A508F" w:rsidRDefault="00940E59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ty)</w:t>
      </w:r>
      <w:r w:rsidR="0037132E" w:rsidRPr="009A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8F3B1" w14:textId="3969908D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201DBE4F" w14:textId="21DB38BE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)</w:t>
      </w:r>
    </w:p>
    <w:p w14:paraId="721CA624" w14:textId="38C9D577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301AA741" w14:textId="320F194A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)</w:t>
      </w:r>
    </w:p>
    <w:p w14:paraId="0849EFC6" w14:textId="299C6E2A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098F3831" w14:textId="713B14CD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0299EA9F" w14:textId="6534D7D6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374920A8" w14:textId="61E9AAD0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566B5F87" w14:textId="5C4ACB12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)</w:t>
      </w:r>
    </w:p>
    <w:p w14:paraId="66156C63" w14:textId="77777777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1CC4C3DF" w14:textId="101B6B17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06E8104D" w14:textId="77777777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1E262" w14:textId="77777777" w:rsidR="0037132E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CB2EE" w14:textId="2CA6AAC9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10F2AB0D" w14:textId="2A7868AE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63A93C16" w14:textId="6854A71C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)</w:t>
      </w:r>
    </w:p>
    <w:p w14:paraId="129BDD74" w14:textId="7D8BA723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6E72F9EC" w14:textId="7197DEAD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)</w:t>
      </w:r>
    </w:p>
    <w:p w14:paraId="6A468D0E" w14:textId="638363B2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4BEABC15" w14:textId="42949C86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5A4599FE" w14:textId="7AC9F6C6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310D14C6" w14:textId="5DFC37EA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073E5A75" w14:textId="2FF9E4F3" w:rsidR="00940E59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)</w:t>
      </w:r>
    </w:p>
    <w:p w14:paraId="0E554291" w14:textId="77777777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20D1090F" w14:textId="06E92B6F" w:rsidR="0037132E" w:rsidRPr="009A508F" w:rsidRDefault="0037132E" w:rsidP="00514884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ab/>
      </w:r>
    </w:p>
    <w:p w14:paraId="3D54DA81" w14:textId="35715829" w:rsidR="00670285" w:rsidRPr="009A508F" w:rsidRDefault="00940E59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”</w:t>
      </w:r>
    </w:p>
    <w:p w14:paraId="584FDDB5" w14:textId="77777777" w:rsidR="00670285" w:rsidRPr="009A508F" w:rsidRDefault="00670285" w:rsidP="005148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sz w:val="24"/>
          <w:szCs w:val="24"/>
        </w:rPr>
        <w:br w:type="page"/>
      </w:r>
    </w:p>
    <w:p w14:paraId="420E33BB" w14:textId="1AD032FF" w:rsidR="00670285" w:rsidRPr="00226874" w:rsidRDefault="00226874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BỐI CẢNH CHUNG</w:t>
      </w:r>
    </w:p>
    <w:p w14:paraId="7FB6B90F" w14:textId="77777777" w:rsidR="00670285" w:rsidRPr="009A508F" w:rsidRDefault="00670285" w:rsidP="00514884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14:paraId="3E4AD1E8" w14:textId="77777777" w:rsidR="00670285" w:rsidRPr="009A508F" w:rsidRDefault="00670285" w:rsidP="00514884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.</w:t>
      </w:r>
    </w:p>
    <w:p w14:paraId="14AE237D" w14:textId="77777777" w:rsidR="00670285" w:rsidRPr="009A508F" w:rsidRDefault="00670285" w:rsidP="00514884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săn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E1183" w14:textId="739DC0AF" w:rsidR="00226874" w:rsidRDefault="00670285" w:rsidP="00514884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ngắn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gọn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xóa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2AAE1664" w14:textId="45F55637" w:rsidR="00670285" w:rsidRPr="009A508F" w:rsidRDefault="00226874" w:rsidP="00514884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br w:type="page"/>
      </w:r>
    </w:p>
    <w:p w14:paraId="7405844D" w14:textId="7C3DFD27" w:rsidR="00544656" w:rsidRPr="00226874" w:rsidRDefault="00226874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CÁC ĐIỀU KHOẢN HOẠT ĐỘNG</w:t>
      </w:r>
    </w:p>
    <w:p w14:paraId="17320209" w14:textId="77777777" w:rsidR="00544656" w:rsidRPr="009A508F" w:rsidRDefault="00670285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chuẩn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</w:p>
    <w:p w14:paraId="120E7427" w14:textId="4F9BDE7A" w:rsidR="00544656" w:rsidRPr="009A508F" w:rsidRDefault="0067028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1: </w:t>
      </w:r>
      <w:r w:rsidRPr="009A508F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mô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tả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vụ</w:t>
      </w:r>
      <w:proofErr w:type="spellEnd"/>
      <w:r w:rsidR="00544656" w:rsidRPr="009A508F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29B2D1C0" w14:textId="0CEA2531" w:rsidR="00544656" w:rsidRPr="009A508F" w:rsidRDefault="00544656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08F">
        <w:rPr>
          <w:rFonts w:ascii="Times New Roman" w:hAnsi="Times New Roman" w:cs="Times New Roman"/>
          <w:sz w:val="28"/>
          <w:szCs w:val="28"/>
        </w:rPr>
        <w:tab/>
      </w:r>
    </w:p>
    <w:p w14:paraId="0DA180B3" w14:textId="4892F32B" w:rsidR="00544656" w:rsidRPr="009A508F" w:rsidRDefault="00544656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08F">
        <w:rPr>
          <w:rFonts w:ascii="Times New Roman" w:hAnsi="Times New Roman" w:cs="Times New Roman"/>
          <w:sz w:val="28"/>
          <w:szCs w:val="28"/>
        </w:rPr>
        <w:tab/>
      </w:r>
    </w:p>
    <w:p w14:paraId="48879CF3" w14:textId="159CF870" w:rsidR="00544656" w:rsidRPr="009A508F" w:rsidRDefault="00544656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08F">
        <w:rPr>
          <w:rFonts w:ascii="Times New Roman" w:hAnsi="Times New Roman" w:cs="Times New Roman"/>
          <w:sz w:val="28"/>
          <w:szCs w:val="28"/>
        </w:rPr>
        <w:tab/>
      </w:r>
    </w:p>
    <w:p w14:paraId="0C690C40" w14:textId="77777777" w:rsidR="00544656" w:rsidRPr="009A508F" w:rsidRDefault="0067028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9D145" w14:textId="3CEE203B" w:rsidR="00544656" w:rsidRPr="009A508F" w:rsidRDefault="0067028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xóa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bỏ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9A508F">
        <w:rPr>
          <w:rFonts w:ascii="Times New Roman" w:hAnsi="Times New Roman" w:cs="Times New Roman"/>
          <w:sz w:val="24"/>
          <w:szCs w:val="24"/>
        </w:rPr>
        <w:t>:</w:t>
      </w:r>
    </w:p>
    <w:p w14:paraId="16573AF2" w14:textId="266346A1" w:rsidR="00544656" w:rsidRPr="009A508F" w:rsidRDefault="00544656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08F">
        <w:rPr>
          <w:rFonts w:ascii="Times New Roman" w:hAnsi="Times New Roman" w:cs="Times New Roman"/>
          <w:sz w:val="28"/>
          <w:szCs w:val="28"/>
        </w:rPr>
        <w:tab/>
      </w:r>
    </w:p>
    <w:p w14:paraId="49995C1D" w14:textId="1B6FA545" w:rsidR="00544656" w:rsidRPr="009A508F" w:rsidRDefault="00544656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08F">
        <w:rPr>
          <w:rFonts w:ascii="Times New Roman" w:hAnsi="Times New Roman" w:cs="Times New Roman"/>
          <w:sz w:val="28"/>
          <w:szCs w:val="28"/>
        </w:rPr>
        <w:tab/>
      </w:r>
    </w:p>
    <w:p w14:paraId="7352D430" w14:textId="77777777" w:rsidR="00544656" w:rsidRPr="009A508F" w:rsidRDefault="0067028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508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AA105" w14:textId="77777777" w:rsidR="00544656" w:rsidRPr="009A508F" w:rsidRDefault="00670285" w:rsidP="00514884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Phương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1: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</w:p>
    <w:p w14:paraId="3159FED5" w14:textId="77777777" w:rsidR="00544656" w:rsidRPr="009A508F" w:rsidRDefault="00670285" w:rsidP="00514884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“1.4 </w:t>
      </w:r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ab/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giữa</w:t>
      </w:r>
      <w:proofErr w:type="spellEnd"/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..............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.............. 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ới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xen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...............</w:t>
      </w:r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xóa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].] </w:t>
      </w:r>
    </w:p>
    <w:p w14:paraId="4FFF0973" w14:textId="77777777" w:rsidR="00544656" w:rsidRPr="009A508F" w:rsidRDefault="00670285" w:rsidP="00514884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Phương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2: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nhau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nhau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682FF1E5" w14:textId="77777777" w:rsidR="00544656" w:rsidRPr="009A508F" w:rsidRDefault="00670285" w:rsidP="00514884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“1.4 </w:t>
      </w:r>
      <w:r w:rsidR="00544656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ab/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lộ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36BCCCE8" w14:textId="151DF198" w:rsidR="00544656" w:rsidRPr="00515CCC" w:rsidRDefault="00544656" w:rsidP="00514884">
      <w:pPr>
        <w:pStyle w:val="ListParagraph"/>
        <w:spacing w:after="120" w:line="276" w:lineRule="auto"/>
        <w:ind w:left="990" w:hanging="423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ab/>
      </w:r>
      <w:proofErr w:type="gram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1.4.1</w:t>
      </w:r>
      <w:r w:rsid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proofErr w:type="gram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ứng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670285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0235FDD6" w14:textId="091F6979" w:rsidR="00544656" w:rsidRPr="00515CCC" w:rsidRDefault="00544656" w:rsidP="00514884">
      <w:pPr>
        <w:pStyle w:val="ListParagraph"/>
        <w:spacing w:after="120" w:line="276" w:lineRule="auto"/>
        <w:ind w:left="990" w:hanging="423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ab/>
      </w:r>
      <w:proofErr w:type="gram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1.4.2 </w:t>
      </w:r>
      <w:r w:rsid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proofErr w:type="gram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ứng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giữa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............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... [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khung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khoảng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xen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giữa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.............[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].”</w:t>
      </w:r>
    </w:p>
    <w:p w14:paraId="53DAA692" w14:textId="77777777" w:rsidR="00544656" w:rsidRPr="009A508F" w:rsidRDefault="00544656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miêu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liệu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ấn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xóa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</w:p>
    <w:p w14:paraId="1914844E" w14:textId="77777777" w:rsidR="00544656" w:rsidRPr="009A508F" w:rsidRDefault="00544656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tuân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thủ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8FA185C" w14:textId="37CCC5DF" w:rsidR="00544656" w:rsidRPr="009A508F" w:rsidRDefault="00544656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854190" w14:textId="361AAEFE" w:rsidR="00544656" w:rsidRPr="00304B45" w:rsidRDefault="00544656" w:rsidP="00514884">
      <w:pPr>
        <w:spacing w:after="120" w:line="276" w:lineRule="auto"/>
        <w:ind w:left="54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Phương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i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chỉnh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cắt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giảm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</w:t>
      </w:r>
      <w:r w:rsid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oặc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mở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rộng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hướng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dẫn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Nhà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dẫn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tới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chỉnh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cắt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giảm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</w:t>
      </w:r>
      <w:r w:rsid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oặc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mở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rộng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dịch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Nhà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31DB7D24" w14:textId="77777777" w:rsidR="00544656" w:rsidRPr="009A508F" w:rsidRDefault="00544656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Thanh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phí</w:t>
      </w:r>
      <w:proofErr w:type="spellEnd"/>
    </w:p>
    <w:p w14:paraId="5B442BFA" w14:textId="77777777" w:rsidR="008D1C15" w:rsidRPr="009A508F" w:rsidRDefault="00544656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3FA100" w14:textId="77777777" w:rsidR="008D1C15" w:rsidRPr="009A508F" w:rsidRDefault="00544656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8ECAFC" w14:textId="182FE3B7" w:rsidR="00544656" w:rsidRPr="009A508F" w:rsidRDefault="00544656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vòng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304B45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4B35D5" w14:textId="319ED664" w:rsidR="00544656" w:rsidRPr="009A508F" w:rsidRDefault="00544656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Chậm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lãi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suất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trả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chậm</w:t>
      </w:r>
      <w:proofErr w:type="spellEnd"/>
    </w:p>
    <w:p w14:paraId="54D0BAB7" w14:textId="4FBB8C67" w:rsidR="008D1C15" w:rsidRPr="009A508F" w:rsidRDefault="00544656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1C15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]%</w:t>
      </w:r>
      <w:proofErr w:type="gram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97F1A5" w14:textId="409E6B51" w:rsidR="008D1C15" w:rsidRPr="00304B45" w:rsidRDefault="008D1C15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chú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ý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hệ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trả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tuân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trần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suất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suất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bắt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buộc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chậm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="00304B45" w:rsidRPr="00304B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329A8633" w14:textId="77777777" w:rsidR="000935C0" w:rsidRPr="009A508F" w:rsidRDefault="008D1C15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đảm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pháp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B0D19B6" w14:textId="77777777" w:rsidR="000935C0" w:rsidRPr="009A508F" w:rsidRDefault="008D1C1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C0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Tùy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Ở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Tùy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ngắt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quãng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thống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AC4E89" w14:textId="77777777" w:rsidR="000935C0" w:rsidRPr="009A508F" w:rsidRDefault="008D1C1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tổn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thiệt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bồi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muộn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hayh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lỗi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kịp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vòng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5E7BE4E" w14:textId="1290EBA2" w:rsidR="008D1C15" w:rsidRPr="009A508F" w:rsidRDefault="008D1C1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thiệt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cẩn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thiệt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thiệt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tổn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cẩn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F4223D" w14:textId="73DAAC43" w:rsidR="008D1C15" w:rsidRPr="009A508F" w:rsidRDefault="008D1C15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chấm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dứt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hậu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quả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chấm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dứt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</w:p>
    <w:p w14:paraId="3DA29586" w14:textId="77777777" w:rsidR="000935C0" w:rsidRPr="009A508F" w:rsidRDefault="008D1C1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thúc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sớm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5.2,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5.3,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1.4]. </w:t>
      </w:r>
    </w:p>
    <w:p w14:paraId="30F04457" w14:textId="77777777" w:rsidR="000935C0" w:rsidRPr="009A508F" w:rsidRDefault="008D1C1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dứt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ngay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vòng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</w:t>
      </w:r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</w:t>
      </w: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6DF788" w14:textId="7356A971" w:rsidR="0039279B" w:rsidRPr="009A508F" w:rsidRDefault="008D1C15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khắc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dứt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vi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phạm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khắc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khắc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phạm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vòng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lưu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ý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nước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ấn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dài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nguyện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5080A" w14:textId="2BD67F52" w:rsidR="0039279B" w:rsidRPr="00515CCC" w:rsidRDefault="00515CCC" w:rsidP="00514884">
      <w:pPr>
        <w:spacing w:after="120" w:line="276" w:lineRule="auto"/>
        <w:ind w:left="54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đích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vi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</w:t>
      </w:r>
      <w:r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ồ</w:t>
      </w:r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đều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coi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khắc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phục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vi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tuân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tất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khía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cạnh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ngoại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trừ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kiêm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xem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hiệu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nơi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="0039279B" w:rsidRPr="00515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]. </w:t>
      </w:r>
    </w:p>
    <w:p w14:paraId="31E40236" w14:textId="77777777" w:rsidR="0039279B" w:rsidRPr="009A508F" w:rsidRDefault="0039279B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4C956C9" w14:textId="77777777" w:rsidR="0039279B" w:rsidRPr="009A508F" w:rsidRDefault="0039279B" w:rsidP="00514884">
      <w:pPr>
        <w:pStyle w:val="ListParagraph"/>
        <w:numPr>
          <w:ilvl w:val="2"/>
          <w:numId w:val="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3054FC" w14:textId="6F67BA47" w:rsidR="0039279B" w:rsidRPr="009A508F" w:rsidRDefault="0039279B" w:rsidP="00514884">
      <w:pPr>
        <w:pStyle w:val="ListParagraph"/>
        <w:numPr>
          <w:ilvl w:val="2"/>
          <w:numId w:val="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sắp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ngâm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FEC9F" w14:textId="77777777" w:rsidR="0039279B" w:rsidRPr="009A508F" w:rsidRDefault="0039279B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mật</w:t>
      </w:r>
      <w:proofErr w:type="spellEnd"/>
    </w:p>
    <w:p w14:paraId="4C58E4E0" w14:textId="77777777" w:rsidR="0039279B" w:rsidRPr="009A508F" w:rsidRDefault="0039279B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hiểu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thừa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xem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hữu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buộc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(“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”). </w:t>
      </w:r>
    </w:p>
    <w:p w14:paraId="0AFBE94A" w14:textId="77777777" w:rsidR="0039279B" w:rsidRPr="009A508F" w:rsidRDefault="0039279B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thúc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phổ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857B4F9" w14:textId="77777777" w:rsidR="0039279B" w:rsidRPr="009A508F" w:rsidRDefault="0039279B" w:rsidP="00514884">
      <w:pPr>
        <w:pStyle w:val="ListParagraph"/>
        <w:numPr>
          <w:ilvl w:val="2"/>
          <w:numId w:val="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2366D1" w14:textId="77777777" w:rsidR="0039279B" w:rsidRPr="009A508F" w:rsidRDefault="0039279B" w:rsidP="00514884">
      <w:pPr>
        <w:pStyle w:val="ListParagraph"/>
        <w:numPr>
          <w:ilvl w:val="2"/>
          <w:numId w:val="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phạm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1D2534" w14:textId="1F18E32C" w:rsidR="0039279B" w:rsidRPr="00515CCC" w:rsidRDefault="0039279B" w:rsidP="00514884">
      <w:pPr>
        <w:pStyle w:val="ListParagraph"/>
        <w:numPr>
          <w:ilvl w:val="2"/>
          <w:numId w:val="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lệnh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phủ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CC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15CCC">
        <w:rPr>
          <w:rFonts w:ascii="Times New Roman" w:hAnsi="Times New Roman" w:cs="Times New Roman"/>
          <w:sz w:val="24"/>
          <w:szCs w:val="24"/>
        </w:rPr>
        <w:t>.</w:t>
      </w:r>
    </w:p>
    <w:p w14:paraId="54B93D1E" w14:textId="77777777" w:rsidR="0039279B" w:rsidRPr="009A508F" w:rsidRDefault="0039279B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tùy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sớm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chép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chiếm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hữu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soát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giữ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291702" w14:textId="6BE53F45" w:rsidR="0039279B" w:rsidRPr="009A508F" w:rsidRDefault="0039279B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5B3B2E" w14:textId="77777777" w:rsidR="0039279B" w:rsidRPr="009A508F" w:rsidRDefault="0039279B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miễn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hành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phạm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59EDF2" w14:textId="77777777" w:rsidR="00C26A12" w:rsidRPr="009A508F" w:rsidRDefault="0039279B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chiến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khẩn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hỏa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hoạn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lũ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lụt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bão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ngại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minh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nó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tầm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kiểm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soát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đoán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tránh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nó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8989F26" w14:textId="3C382AD6" w:rsidR="00C26A12" w:rsidRPr="009A508F" w:rsidRDefault="00C26A12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coi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phạm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trễ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nguyên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7.3.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tuân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thủ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7.4. </w:t>
      </w:r>
    </w:p>
    <w:p w14:paraId="29986536" w14:textId="77777777" w:rsidR="00C26A12" w:rsidRPr="009A508F" w:rsidRDefault="00C26A12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xảy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B4F6D88" w14:textId="77777777" w:rsidR="00C26A12" w:rsidRPr="009A508F" w:rsidRDefault="00C26A12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khác1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dứt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FC92D0" w14:textId="592714A2" w:rsidR="00C26A12" w:rsidRPr="009A508F" w:rsidRDefault="00C26A12" w:rsidP="00514884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7.4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73CD6074" w14:textId="77777777" w:rsidR="00C26A12" w:rsidRPr="009A508F" w:rsidRDefault="00C26A12" w:rsidP="00514884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“7.4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thúc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hoãn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in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trở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vượt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quá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nỗ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hết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sức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nhằm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giảm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bớt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động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30 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]”</w:t>
      </w:r>
    </w:p>
    <w:p w14:paraId="43CA4608" w14:textId="77777777" w:rsidR="00C26A12" w:rsidRPr="009A508F" w:rsidRDefault="00C26A12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Thay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hoàn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cảnh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gánh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nặng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p w14:paraId="573FA4FF" w14:textId="77777777" w:rsidR="00C26A12" w:rsidRPr="00B94CCC" w:rsidRDefault="00C26A12" w:rsidP="00514884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tự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do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tham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vấn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nhau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đáng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đặc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biệt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tạo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gánh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nặng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nhiên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doanh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nghiệp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nhỏ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vừa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(SME)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cuối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8.4 (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SME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ngược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lợi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ích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mình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ở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vị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chiến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lược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mạnh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xảy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gánh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nặng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</w:p>
    <w:p w14:paraId="5CA7F9C5" w14:textId="77777777" w:rsidR="00C26A12" w:rsidRPr="009A508F" w:rsidRDefault="00C26A12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gánh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nặng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0D9A707" w14:textId="77777777" w:rsidR="00926F07" w:rsidRPr="009A508F" w:rsidRDefault="00C26A12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xảy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cân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dồn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gánh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nặng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miễn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C31342" w14:textId="2EBA9974" w:rsidR="00C26A12" w:rsidRPr="009A508F" w:rsidRDefault="00514F5A" w:rsidP="00514884">
      <w:pPr>
        <w:pStyle w:val="ListParagraph"/>
        <w:numPr>
          <w:ilvl w:val="2"/>
          <w:numId w:val="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23A95140" w14:textId="77777777" w:rsidR="00C26A12" w:rsidRPr="009A508F" w:rsidRDefault="00514F5A" w:rsidP="00514884">
      <w:pPr>
        <w:pStyle w:val="ListParagraph"/>
        <w:numPr>
          <w:ilvl w:val="2"/>
          <w:numId w:val="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nằm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tầm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kiểm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soát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</w:p>
    <w:p w14:paraId="6813F238" w14:textId="77777777" w:rsidR="00C26A12" w:rsidRPr="009A508F" w:rsidRDefault="00514F5A" w:rsidP="00514884">
      <w:pPr>
        <w:pStyle w:val="ListParagraph"/>
        <w:numPr>
          <w:ilvl w:val="2"/>
          <w:numId w:val="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rủi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rủi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C26A12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7D6564" w14:textId="1BCB79FF" w:rsidR="00514F5A" w:rsidRPr="009A508F" w:rsidRDefault="00514F5A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xem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DC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nghiêm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túc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A76FB7" w14:textId="3234A740" w:rsidR="00514F5A" w:rsidRPr="009A508F" w:rsidRDefault="00C26A12" w:rsidP="00514884">
      <w:pPr>
        <w:spacing w:after="120" w:line="276" w:lineRule="auto"/>
        <w:ind w:left="63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-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xem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ở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đầu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8</w:t>
      </w:r>
      <w:r w:rsidR="00514F5A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507596C5" w14:textId="007481ED" w:rsidR="00514F5A" w:rsidRPr="009A508F" w:rsidRDefault="00514F5A" w:rsidP="00514884">
      <w:pPr>
        <w:pStyle w:val="ListParagraph"/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"8.4 </w:t>
      </w:r>
      <w:r w:rsidR="00B94CCC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926F07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926F07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15. 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động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họ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hủy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."]</w:t>
      </w:r>
    </w:p>
    <w:p w14:paraId="4A25F4DC" w14:textId="13123AE1" w:rsidR="00514F5A" w:rsidRPr="009A508F" w:rsidRDefault="00514F5A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hệ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lý</w:t>
      </w:r>
      <w:proofErr w:type="spellEnd"/>
    </w:p>
    <w:p w14:paraId="2D2F67FA" w14:textId="768EDA96" w:rsidR="00514F5A" w:rsidRPr="009A508F" w:rsidRDefault="00514F5A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coi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26F07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(ii)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(iii)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ràng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buộc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B4A350" w14:textId="7929E8E2" w:rsidR="00514F5A" w:rsidRPr="009A508F" w:rsidRDefault="00514F5A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Ủy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thác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thứ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cấp</w:t>
      </w:r>
      <w:proofErr w:type="spellEnd"/>
    </w:p>
    <w:p w14:paraId="7995A909" w14:textId="77777777" w:rsidR="00926F07" w:rsidRPr="009A508F" w:rsidRDefault="00514F5A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mang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chưa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qua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,]</w:t>
      </w:r>
      <w:r w:rsidRPr="009A508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ý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E2B71C" w14:textId="77777777" w:rsidR="00B71659" w:rsidRPr="009A508F" w:rsidRDefault="00514F5A" w:rsidP="00514884">
      <w:pPr>
        <w:pStyle w:val="ListParagraph"/>
        <w:numPr>
          <w:ilvl w:val="2"/>
          <w:numId w:val="1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Ủy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cầm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</w:t>
      </w:r>
      <w:r w:rsidR="00B71659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B71659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="00B71659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</w:p>
    <w:p w14:paraId="10D117C0" w14:textId="158B6013" w:rsidR="00514F5A" w:rsidRPr="009A508F" w:rsidRDefault="00514F5A" w:rsidP="00514884">
      <w:pPr>
        <w:pStyle w:val="ListParagraph"/>
        <w:numPr>
          <w:ilvl w:val="2"/>
          <w:numId w:val="1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="00B71659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88DBDE" w14:textId="704F6279" w:rsidR="00514F5A" w:rsidRPr="009A508F" w:rsidRDefault="00514F5A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báo</w:t>
      </w:r>
      <w:proofErr w:type="spellEnd"/>
    </w:p>
    <w:p w14:paraId="2ECFFB41" w14:textId="77777777" w:rsidR="00B71659" w:rsidRPr="009A508F" w:rsidRDefault="00514F5A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email)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trao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11.2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minh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8FCE902" w14:textId="4DA7A2C7" w:rsidR="00B71659" w:rsidRPr="009A508F" w:rsidRDefault="00514F5A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Nhằm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31C793F" w14:textId="6C50A6FF" w:rsidR="00B71659" w:rsidRPr="009A508F" w:rsidRDefault="00B71659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25BA79A" w14:textId="61AE4483" w:rsidR="00B71659" w:rsidRPr="009A508F" w:rsidRDefault="00B71659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B00F8CC" w14:textId="5F8D9B93" w:rsidR="00B71659" w:rsidRPr="009A508F" w:rsidRDefault="00B71659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toàn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vẹn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</w:p>
    <w:p w14:paraId="646C0E3A" w14:textId="7594F18A" w:rsidR="00FA05FD" w:rsidRPr="009A508F" w:rsidRDefault="00B71659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dựa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đảm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ràng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chiếu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bỏ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hiệm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nào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nhầm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lừa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dối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</w:t>
      </w:r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</w:t>
      </w:r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hay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nhớ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tượng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7F558FB5" w14:textId="0C34C41F" w:rsidR="00B71659" w:rsidRPr="009A508F" w:rsidRDefault="00B71659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huận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(bao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email)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8.4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“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8.4"</w:t>
      </w:r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49FC0A98" w14:textId="7743E73D" w:rsidR="00B71659" w:rsidRPr="009A508F" w:rsidRDefault="00B71659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hưởng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quy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định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vô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</w:p>
    <w:p w14:paraId="652F4D2C" w14:textId="77777777" w:rsidR="00B71659" w:rsidRPr="009A508F" w:rsidRDefault="00B71659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án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tuyên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bố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vẫn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thiếu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nỗ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đích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B076A9" w14:textId="5CDE8DCD" w:rsidR="00B71659" w:rsidRPr="009A508F" w:rsidRDefault="00B71659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loại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chấp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phê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chuẩn</w:t>
      </w:r>
      <w:proofErr w:type="spellEnd"/>
    </w:p>
    <w:p w14:paraId="26C51DE4" w14:textId="000139B9" w:rsidR="00B71659" w:rsidRPr="009A508F" w:rsidRDefault="00B71659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đạt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phê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5FD"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loại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/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phê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chuẩn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quản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chính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phủ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</w:p>
    <w:p w14:paraId="4A101924" w14:textId="71AD93FD" w:rsidR="00FA05FD" w:rsidRPr="009A508F" w:rsidRDefault="00FA05FD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B134A38" w14:textId="5F397792" w:rsidR="00FA05FD" w:rsidRPr="009A508F" w:rsidRDefault="00FA05FD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AAD1067" w14:textId="1C5B1CA2" w:rsidR="00FA05FD" w:rsidRPr="009A508F" w:rsidRDefault="00FA05FD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3188E44" w14:textId="116916EE" w:rsidR="00B71659" w:rsidRPr="009A508F" w:rsidRDefault="00B71659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nỗ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chấp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phê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ngay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tức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gặp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16A9C3" w14:textId="3C73D888" w:rsidR="00B71659" w:rsidRPr="009A508F" w:rsidRDefault="00B71659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Thủ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tục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giải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quyết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tranh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chấp</w:t>
      </w:r>
      <w:proofErr w:type="spellEnd"/>
    </w:p>
    <w:p w14:paraId="4369AC07" w14:textId="77777777" w:rsidR="00514884" w:rsidRPr="00B57D1A" w:rsidRDefault="00514884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827789"/>
      <w:bookmarkStart w:id="1" w:name="_Hlk72396466"/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tòa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F96408" w14:textId="77777777" w:rsidR="00514884" w:rsidRPr="000D1D1A" w:rsidRDefault="00514884" w:rsidP="00514884">
      <w:pPr>
        <w:pStyle w:val="ListParagraph"/>
        <w:numPr>
          <w:ilvl w:val="1"/>
          <w:numId w:val="4"/>
        </w:numPr>
        <w:spacing w:after="120" w:line="276" w:lineRule="auto"/>
        <w:ind w:left="567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D1A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mâu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thuẫn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Nam (VIAC)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0D1D1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  <w:r w:rsidRPr="000D1D1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47D7501" w14:textId="77777777" w:rsidR="00514884" w:rsidRDefault="00514884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3E228" w14:textId="1CD9AC72" w:rsidR="009A508F" w:rsidRPr="009A508F" w:rsidRDefault="009A508F" w:rsidP="00514884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áp</w:t>
      </w:r>
      <w:proofErr w:type="spellEnd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dụng</w:t>
      </w:r>
      <w:proofErr w:type="spellEnd"/>
    </w:p>
    <w:p w14:paraId="024C3D65" w14:textId="326E088D" w:rsidR="00515CCC" w:rsidRDefault="009A508F" w:rsidP="00514884">
      <w:pPr>
        <w:spacing w:after="120"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9A508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9A508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9A5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7FCD41" w14:textId="592FE4FD" w:rsidR="00322AF3" w:rsidRDefault="00515CCC" w:rsidP="00514884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CFF"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trích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nhỏ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Tiếng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Anh: Model contracts for small firms – Legal guidance for doing international business),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(ITC),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WTO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nhập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Nam (VCCI) </w:t>
      </w:r>
    </w:p>
    <w:p w14:paraId="1D70A3AA" w14:textId="77777777" w:rsidR="00322AF3" w:rsidRDefault="00322AF3" w:rsidP="00514884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677B38D" w14:textId="56026B79" w:rsidR="00515CCC" w:rsidRDefault="00322AF3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Phụ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lục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hiện</w:t>
      </w:r>
      <w:proofErr w:type="spellEnd"/>
    </w:p>
    <w:p w14:paraId="35E1D600" w14:textId="3333C69C" w:rsidR="00322AF3" w:rsidRDefault="00322AF3" w:rsidP="00514884">
      <w:pPr>
        <w:spacing w:after="12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lục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phí</w:t>
      </w:r>
      <w:proofErr w:type="spellEnd"/>
    </w:p>
    <w:p w14:paraId="4D370769" w14:textId="2BF85662" w:rsidR="00322AF3" w:rsidRDefault="00322AF3" w:rsidP="00514884">
      <w:pPr>
        <w:spacing w:after="120" w:line="276" w:lineRule="auto"/>
        <w:ind w:left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 …………</w:t>
      </w:r>
    </w:p>
    <w:p w14:paraId="7116C5B7" w14:textId="259A0B88" w:rsidR="00322AF3" w:rsidRDefault="00322AF3" w:rsidP="00514884">
      <w:pPr>
        <w:pStyle w:val="ListParagraph"/>
        <w:numPr>
          <w:ilvl w:val="0"/>
          <w:numId w:val="12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21B931DB" w14:textId="01767797" w:rsidR="00322AF3" w:rsidRDefault="00322AF3" w:rsidP="00514884">
      <w:pPr>
        <w:pStyle w:val="ListParagraph"/>
        <w:numPr>
          <w:ilvl w:val="0"/>
          <w:numId w:val="12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0BF082F9" w14:textId="2D173439" w:rsidR="00322AF3" w:rsidRDefault="00322AF3" w:rsidP="00514884">
      <w:pPr>
        <w:pStyle w:val="ListParagraph"/>
        <w:numPr>
          <w:ilvl w:val="0"/>
          <w:numId w:val="12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2EC1D55F" w14:textId="325943E1" w:rsidR="00322AF3" w:rsidRDefault="00322AF3" w:rsidP="00514884">
      <w:pPr>
        <w:pStyle w:val="ListParagraph"/>
        <w:tabs>
          <w:tab w:val="left" w:leader="dot" w:pos="9360"/>
        </w:tabs>
        <w:spacing w:after="120" w:line="276" w:lineRule="auto"/>
        <w:ind w:hanging="18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58DE8F4" w14:textId="523CDA9D" w:rsidR="00322AF3" w:rsidRDefault="00322AF3" w:rsidP="00514884">
      <w:pPr>
        <w:pStyle w:val="ListParagraph"/>
        <w:numPr>
          <w:ilvl w:val="0"/>
          <w:numId w:val="12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039B8ADC" w14:textId="641BFC72" w:rsidR="00322AF3" w:rsidRDefault="00322AF3" w:rsidP="00514884">
      <w:pPr>
        <w:pStyle w:val="ListParagraph"/>
        <w:numPr>
          <w:ilvl w:val="0"/>
          <w:numId w:val="12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20B09448" w14:textId="6779439A" w:rsidR="00322AF3" w:rsidRDefault="00322AF3" w:rsidP="00514884">
      <w:pPr>
        <w:pStyle w:val="ListParagraph"/>
        <w:numPr>
          <w:ilvl w:val="0"/>
          <w:numId w:val="12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322358DE" w14:textId="3EBFE559" w:rsidR="00322AF3" w:rsidRDefault="00322AF3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</w:p>
    <w:p w14:paraId="4E9864CA" w14:textId="5AC3A0A0" w:rsidR="00322AF3" w:rsidRDefault="00322AF3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2AF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322AF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ba</w:t>
      </w:r>
      <w:proofErr w:type="spellEnd"/>
      <w:r w:rsidRPr="00322AF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]</w:t>
      </w:r>
      <w:r w:rsidRPr="00322AF3">
        <w:rPr>
          <w:rFonts w:ascii="Times New Roman" w:hAnsi="Times New Roman" w:cs="Times New Roman"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A96AB7B" w14:textId="20BDC1D1" w:rsidR="00115CCB" w:rsidRDefault="00322AF3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thuế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gia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tăng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(VAT),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loại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thuế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mà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phải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chịu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theem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mức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thuế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mức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áp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dụng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tại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thời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điểm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CCB">
        <w:rPr>
          <w:rFonts w:ascii="Times New Roman" w:hAnsi="Times New Roman" w:cs="Times New Roman"/>
          <w:iCs/>
          <w:sz w:val="24"/>
          <w:szCs w:val="24"/>
        </w:rPr>
        <w:t>đó</w:t>
      </w:r>
      <w:proofErr w:type="spellEnd"/>
      <w:r w:rsidR="00115CC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1324A" w14:textId="77777777" w:rsidR="00514884" w:rsidRDefault="00514884" w:rsidP="00514884">
      <w:pPr>
        <w:pStyle w:val="ListParagraph"/>
        <w:tabs>
          <w:tab w:val="left" w:leader="dot" w:pos="936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115CCB" w:rsidRPr="00E86782" w14:paraId="046FB6DE" w14:textId="77777777" w:rsidTr="00597BAD">
        <w:trPr>
          <w:trHeight w:val="1095"/>
        </w:trPr>
        <w:tc>
          <w:tcPr>
            <w:tcW w:w="4675" w:type="dxa"/>
          </w:tcPr>
          <w:p w14:paraId="367A46F0" w14:textId="77777777" w:rsidR="00115CCB" w:rsidRPr="002B7256" w:rsidRDefault="00115CCB" w:rsidP="0051488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VÀ CHỮ KÝ CỦA CÁC BÊN</w:t>
            </w:r>
          </w:p>
          <w:p w14:paraId="0C003A89" w14:textId="77777777" w:rsidR="00115CCB" w:rsidRPr="00E86782" w:rsidRDefault="00115CCB" w:rsidP="005148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</w:p>
          <w:p w14:paraId="7FD248F9" w14:textId="2A2C7520" w:rsidR="00115CCB" w:rsidRPr="00E86782" w:rsidRDefault="00115CCB" w:rsidP="0051488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 .  .  .  .  .  .  .  .  .  .  .  .  .  .  .  .  .  .  .  </w:t>
            </w:r>
          </w:p>
          <w:p w14:paraId="414662EE" w14:textId="77777777" w:rsidR="00115CCB" w:rsidRPr="00E86782" w:rsidRDefault="00115CCB" w:rsidP="0051488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 .  .  .  .  .  .  .  .  .  . .  .  .  .  .  .  .  .  .  .  .</w:t>
            </w:r>
          </w:p>
          <w:p w14:paraId="444E22A5" w14:textId="77777777" w:rsidR="00115CCB" w:rsidRPr="00E86782" w:rsidRDefault="00115CCB" w:rsidP="005148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4675" w:type="dxa"/>
          </w:tcPr>
          <w:p w14:paraId="0493FA26" w14:textId="77777777" w:rsidR="00115CCB" w:rsidRPr="00E86782" w:rsidRDefault="00115CCB" w:rsidP="0051488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2DFD" w14:textId="77777777" w:rsidR="00115CCB" w:rsidRPr="00E86782" w:rsidRDefault="00115CCB" w:rsidP="005148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</w:p>
          <w:p w14:paraId="271895AA" w14:textId="255814EC" w:rsidR="00115CCB" w:rsidRDefault="00115CCB" w:rsidP="0051488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 .  .  .  .  .  .  .  .  .  . .  .  .  .  .  .  .  .  .  .  . .  .  .  </w:t>
            </w:r>
          </w:p>
          <w:p w14:paraId="082126DE" w14:textId="78EACA98" w:rsidR="00115CCB" w:rsidRPr="00E86782" w:rsidRDefault="00115CCB" w:rsidP="0051488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 .  .  .  .  .  .  .  .  .  .  .  .  .  .  .  .  . .  .  .  .  .  .  </w:t>
            </w:r>
          </w:p>
          <w:p w14:paraId="7ADCD1F6" w14:textId="77777777" w:rsidR="00115CCB" w:rsidRPr="00E86782" w:rsidRDefault="00115CCB" w:rsidP="005148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</w:tr>
    </w:tbl>
    <w:p w14:paraId="6D614C7A" w14:textId="77777777" w:rsidR="00115CCB" w:rsidRPr="00322AF3" w:rsidRDefault="00115CCB" w:rsidP="00514884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6C691C" w14:textId="5FF1F986" w:rsidR="00515CCC" w:rsidRPr="00515CCC" w:rsidRDefault="00515CCC" w:rsidP="0051488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5CCC" w:rsidRPr="00515CCC" w:rsidSect="00514884">
      <w:footerReference w:type="default" r:id="rId7"/>
      <w:pgSz w:w="11906" w:h="16838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98D3" w14:textId="77777777" w:rsidR="00774E3B" w:rsidRDefault="00774E3B" w:rsidP="00226874">
      <w:pPr>
        <w:spacing w:after="0" w:line="240" w:lineRule="auto"/>
      </w:pPr>
      <w:r>
        <w:separator/>
      </w:r>
    </w:p>
  </w:endnote>
  <w:endnote w:type="continuationSeparator" w:id="0">
    <w:p w14:paraId="6BBD4002" w14:textId="77777777" w:rsidR="00774E3B" w:rsidRDefault="00774E3B" w:rsidP="0022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618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AE6F1" w14:textId="0D92F178" w:rsidR="00226874" w:rsidRDefault="00226874" w:rsidP="00514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5A14" w14:textId="77777777" w:rsidR="00774E3B" w:rsidRDefault="00774E3B" w:rsidP="00226874">
      <w:pPr>
        <w:spacing w:after="0" w:line="240" w:lineRule="auto"/>
      </w:pPr>
      <w:r>
        <w:separator/>
      </w:r>
    </w:p>
  </w:footnote>
  <w:footnote w:type="continuationSeparator" w:id="0">
    <w:p w14:paraId="0DCAB8FF" w14:textId="77777777" w:rsidR="00774E3B" w:rsidRDefault="00774E3B" w:rsidP="0022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F00"/>
    <w:multiLevelType w:val="multilevel"/>
    <w:tmpl w:val="E9C26F9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2791681"/>
    <w:multiLevelType w:val="hybridMultilevel"/>
    <w:tmpl w:val="08840154"/>
    <w:lvl w:ilvl="0" w:tplc="A3D48A26">
      <w:start w:val="1"/>
      <w:numFmt w:val="upperLetter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7D9C"/>
    <w:multiLevelType w:val="hybridMultilevel"/>
    <w:tmpl w:val="6254BBDE"/>
    <w:lvl w:ilvl="0" w:tplc="E9C277F4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B81D69"/>
    <w:multiLevelType w:val="multilevel"/>
    <w:tmpl w:val="13BC521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3891620"/>
    <w:multiLevelType w:val="hybridMultilevel"/>
    <w:tmpl w:val="F24E433E"/>
    <w:lvl w:ilvl="0" w:tplc="EC02B1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0A1B"/>
    <w:multiLevelType w:val="multilevel"/>
    <w:tmpl w:val="EFDA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79D0A72"/>
    <w:multiLevelType w:val="multilevel"/>
    <w:tmpl w:val="E4DE991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B983C25"/>
    <w:multiLevelType w:val="hybridMultilevel"/>
    <w:tmpl w:val="93B615F4"/>
    <w:lvl w:ilvl="0" w:tplc="A3D48A26">
      <w:start w:val="1"/>
      <w:numFmt w:val="upperLetter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C3FDE"/>
    <w:multiLevelType w:val="hybridMultilevel"/>
    <w:tmpl w:val="C068D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3A76"/>
    <w:multiLevelType w:val="multilevel"/>
    <w:tmpl w:val="0C3236E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4C33E8E"/>
    <w:multiLevelType w:val="multilevel"/>
    <w:tmpl w:val="06925AF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7CAA4CBE"/>
    <w:multiLevelType w:val="multilevel"/>
    <w:tmpl w:val="AFA60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DF02409"/>
    <w:multiLevelType w:val="multilevel"/>
    <w:tmpl w:val="72E0735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1"/>
    <w:rsid w:val="000935C0"/>
    <w:rsid w:val="00115CCB"/>
    <w:rsid w:val="00226874"/>
    <w:rsid w:val="00304B45"/>
    <w:rsid w:val="00322AF3"/>
    <w:rsid w:val="0037132E"/>
    <w:rsid w:val="0039279B"/>
    <w:rsid w:val="003B6447"/>
    <w:rsid w:val="00514884"/>
    <w:rsid w:val="00514F5A"/>
    <w:rsid w:val="00515CCC"/>
    <w:rsid w:val="00544656"/>
    <w:rsid w:val="00545345"/>
    <w:rsid w:val="00670285"/>
    <w:rsid w:val="00756289"/>
    <w:rsid w:val="00774E3B"/>
    <w:rsid w:val="008266DA"/>
    <w:rsid w:val="008D1C15"/>
    <w:rsid w:val="00926F07"/>
    <w:rsid w:val="00940E59"/>
    <w:rsid w:val="009A508F"/>
    <w:rsid w:val="00A13A81"/>
    <w:rsid w:val="00A536D1"/>
    <w:rsid w:val="00B71659"/>
    <w:rsid w:val="00B94CCC"/>
    <w:rsid w:val="00C26A12"/>
    <w:rsid w:val="00CF0AF0"/>
    <w:rsid w:val="00F0689D"/>
    <w:rsid w:val="00FA05FD"/>
    <w:rsid w:val="00F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2C489"/>
  <w15:chartTrackingRefBased/>
  <w15:docId w15:val="{00446CDA-5F82-42DA-9EC2-270DEB2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874"/>
  </w:style>
  <w:style w:type="paragraph" w:styleId="Footer">
    <w:name w:val="footer"/>
    <w:basedOn w:val="Normal"/>
    <w:link w:val="FooterChar"/>
    <w:uiPriority w:val="99"/>
    <w:unhideWhenUsed/>
    <w:rsid w:val="0022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874"/>
  </w:style>
  <w:style w:type="table" w:styleId="TableGrid">
    <w:name w:val="Table Grid"/>
    <w:basedOn w:val="TableNormal"/>
    <w:uiPriority w:val="39"/>
    <w:rsid w:val="0022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12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Do</dc:creator>
  <cp:keywords/>
  <dc:description/>
  <cp:lastModifiedBy>Thu Huong Pham</cp:lastModifiedBy>
  <cp:revision>14</cp:revision>
  <dcterms:created xsi:type="dcterms:W3CDTF">2021-03-12T01:56:00Z</dcterms:created>
  <dcterms:modified xsi:type="dcterms:W3CDTF">2021-05-20T03:09:00Z</dcterms:modified>
</cp:coreProperties>
</file>